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173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对在航道内挖沙取石、开采砂金、钻探、打桩等影响通航，不经河道行政主管部门会同航务管理机构批准的处罚</w: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6195"/>
        </w:tabs>
        <w:ind w:left="660" w:leftChars="200" w:hanging="240" w:hangingChars="100"/>
        <w:jc w:val="left"/>
        <w:rPr>
          <w:rFonts w:ascii="仿宋_GB2312" w:eastAsia="仿宋_GB2312" w:cs="仿宋_GB2312"/>
          <w:sz w:val="24"/>
          <w:szCs w:val="24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935146"/>
    <w:rsid w:val="6F91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2021-11-04T07:56:25Z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51E83989D29A4F63B2BF4FE9A502CF01</vt:lpwstr>
  </property>
</Properties>
</file>