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171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对建设单位未按照规定设置航标等设施的处罚</w:t>
      </w:r>
    </w:p>
    <w:p>
      <w:pPr>
        <w:pStyle w:val="4"/>
        <w:ind w:left="360" w:firstLine="0" w:firstLineChars="0"/>
        <w:rPr>
          <w:rFonts w:cs="宋体"/>
        </w:rPr>
      </w:pP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97172B"/>
    <w:rsid w:val="4051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8CA94C823BFE4FAF993DC1E634C0A7DA</vt:lpwstr>
  </property>
</Properties>
</file>