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170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.对未及时清除影响航道通航条件的临时设施及其残留物的处罚</w:t>
      </w:r>
    </w:p>
    <w:p>
      <w:pPr>
        <w:pStyle w:val="4"/>
        <w:ind w:left="360" w:firstLine="0" w:firstLineChars="0"/>
        <w:rPr>
          <w:rFonts w:ascii="Calibri"/>
        </w:rPr>
      </w:pPr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Calibri"/>
        </w:rPr>
      </w:pPr>
    </w:p>
    <w:p>
      <w:pPr>
        <w:pStyle w:val="4"/>
        <w:ind w:left="360" w:firstLine="0" w:firstLineChars="0"/>
        <w:rPr>
          <w:rFonts w:ascii="Calibri"/>
        </w:rPr>
      </w:pPr>
      <w:bookmarkStart w:id="0" w:name="_GoBack"/>
      <w:bookmarkEnd w:id="0"/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0854-287893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775586"/>
    <w:rsid w:val="63116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2021-11-04T07:50:51Z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2B5BAC6FB23A4C9781249CD4AD1476F2</vt:lpwstr>
  </property>
</Properties>
</file>