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168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对班轮运输业务经营者未提前向社会公布所使用的船舶、班期、班次和运价或者其变更信息的处罚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813FA0"/>
    <w:rsid w:val="4616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A01A05621EDA49BC8B0A9DD92ED7852C</vt:lpwstr>
  </property>
</Properties>
</file>