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163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对水路运输经营者使用未取得船舶营运证件的船舶从事水路运输的，未随船携带船舶营运证件的处罚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6339D8"/>
    <w:rsid w:val="7427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E725D868A6774C68A0A654AE0905C216</vt:lpwstr>
  </property>
</Properties>
</file>