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152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对伪造、变造或者买卖船员服务簿、船员适任证书、船员培训合格证书、中华人民共和国海员证的处罚</w:t>
      </w:r>
    </w:p>
    <w:p>
      <w:pPr>
        <w:pStyle w:val="4"/>
        <w:ind w:left="360" w:firstLine="0" w:firstLineChars="0"/>
        <w:rPr>
          <w:rFonts w:ascii="Calibri"/>
        </w:rPr>
      </w:pPr>
      <w:bookmarkStart w:id="0" w:name="_GoBack"/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bookmarkEnd w:id="0"/>
    </w:p>
    <w:p>
      <w:pPr>
        <w:tabs>
          <w:tab w:val="left" w:pos="6195"/>
        </w:tabs>
        <w:ind w:left="660" w:leftChars="200" w:hanging="240" w:hangingChars="100"/>
        <w:jc w:val="left"/>
        <w:rPr>
          <w:rFonts w:ascii="仿宋_GB2312" w:eastAsia="仿宋_GB2312" w:cs="仿宋_GB2312"/>
          <w:sz w:val="24"/>
          <w:szCs w:val="24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187DA2"/>
    <w:rsid w:val="3DE3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2021-11-04T01:08:32Z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494C851272784423977D31BE060C643A</vt:lpwstr>
  </property>
</Properties>
</file>