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136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对《防治船舶污染内河水域环境管理规定》第四十七条规定情形的处罚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AB5326"/>
    <w:rsid w:val="508D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2021-11-03T02:58:07Z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B706CF84033C455599B31778C73CD2B6</vt:lpwstr>
  </property>
</Properties>
</file>