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132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对不按照规定办理变更或者注销登记的，或者使用过期的船舶国籍证书或者临时船舶国籍证书的处罚</w:t>
      </w:r>
    </w:p>
    <w:p>
      <w:pPr>
        <w:pStyle w:val="4"/>
        <w:ind w:left="360" w:firstLine="0" w:firstLineChars="0"/>
        <w:rPr>
          <w:rFonts w:ascii="Calibri"/>
        </w:rPr>
      </w:pPr>
      <w:bookmarkStart w:id="0" w:name="_GoBack"/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bookmarkEnd w:id="0"/>
    <w:p>
      <w:pPr>
        <w:tabs>
          <w:tab w:val="left" w:pos="6195"/>
        </w:tabs>
        <w:ind w:left="660" w:leftChars="200" w:hanging="240" w:hangingChars="100"/>
        <w:jc w:val="left"/>
        <w:rPr>
          <w:rFonts w:ascii="仿宋_GB2312" w:eastAsia="仿宋_GB2312" w:cs="仿宋_GB2312"/>
          <w:sz w:val="24"/>
          <w:szCs w:val="24"/>
        </w:rPr>
      </w:pP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1039EB"/>
    <w:rsid w:val="3A6A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2021-11-03T02:54:28Z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F3CF9850F5EB443FB1A55815FD3233E9</vt:lpwstr>
  </property>
</Properties>
</file>