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12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</w:t>
      </w:r>
      <w:bookmarkStart w:id="0" w:name="_GoBack"/>
      <w:bookmarkEnd w:id="0"/>
      <w:r>
        <w:rPr>
          <w:rFonts w:hint="eastAsia" w:ascii="仿宋_GB2312" w:eastAsia="仿宋_GB2312"/>
          <w:sz w:val="28"/>
          <w:szCs w:val="28"/>
        </w:rPr>
        <w:t xml:space="preserve">.对遇险现场和附近的船舶、船员不服从海事管理机构的统一调度和指挥的处罚 </w:t>
      </w:r>
    </w:p>
    <w:p>
      <w:pPr>
        <w:pStyle w:val="4"/>
        <w:ind w:left="360" w:firstLine="0" w:firstLineChars="0"/>
        <w:rPr>
          <w:rFonts w:ascii="Calibri"/>
        </w:rPr>
      </w:pPr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30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A75677"/>
    <w:rsid w:val="4506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2021-11-03T02:43:42Z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A1A4CF53ED96485E9FACE5D3E9769CE1</vt:lpwstr>
  </property>
</Properties>
</file>