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ind w:left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116.</w:t>
      </w:r>
      <w:r>
        <w:rPr>
          <w:rFonts w:hint="eastAsia" w:ascii="仿宋_GB2312" w:eastAsia="仿宋_GB2312"/>
          <w:sz w:val="28"/>
          <w:szCs w:val="28"/>
        </w:rPr>
        <w:t>对《内河交通安全管理条例》第六十八条规定情形的处罚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仿宋_GB2312" w:eastAsia="仿宋_GB2312"/>
          <w:sz w:val="28"/>
          <w:szCs w:val="28"/>
        </w:rPr>
      </w:pP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930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pPr>
        <w:pStyle w:val="4"/>
        <w:ind w:left="360" w:firstLine="0" w:firstLineChars="0"/>
        <w:rPr>
          <w:rFonts w:ascii="仿宋_GB2312" w:eastAsia="仿宋_GB2312"/>
          <w:sz w:val="28"/>
          <w:szCs w:val="28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8C12CE"/>
    <w:rsid w:val="2554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2021-11-02T08:50:30Z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1EC1AE5A46624E0C85D0CEEC0DCF41A3</vt:lpwstr>
  </property>
</Properties>
</file>