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330"/>
        </w:tabs>
        <w:spacing w:line="400" w:lineRule="exact"/>
        <w:jc w:val="both"/>
        <w:rPr>
          <w:rFonts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 w:cs="楷体"/>
          <w:sz w:val="28"/>
          <w:szCs w:val="28"/>
        </w:rPr>
        <w:t>1</w:t>
      </w:r>
      <w:r>
        <w:rPr>
          <w:rFonts w:hint="eastAsia" w:ascii="仿宋_GB2312" w:hAnsi="楷体" w:eastAsia="仿宋_GB2312" w:cs="楷体"/>
          <w:sz w:val="28"/>
          <w:szCs w:val="28"/>
          <w:lang w:val="en-US" w:eastAsia="zh-CN"/>
        </w:rPr>
        <w:t>11</w:t>
      </w:r>
      <w:r>
        <w:rPr>
          <w:rFonts w:hint="eastAsia" w:ascii="仿宋_GB2312" w:hAnsi="楷体" w:eastAsia="仿宋_GB2312" w:cs="楷体"/>
          <w:sz w:val="28"/>
          <w:szCs w:val="28"/>
        </w:rPr>
        <w:t>.对应当</w:t>
      </w:r>
      <w:bookmarkStart w:id="0" w:name="_GoBack"/>
      <w:bookmarkEnd w:id="0"/>
      <w:r>
        <w:rPr>
          <w:rFonts w:hint="eastAsia" w:ascii="仿宋_GB2312" w:hAnsi="楷体" w:eastAsia="仿宋_GB2312" w:cs="楷体"/>
          <w:sz w:val="28"/>
          <w:szCs w:val="28"/>
        </w:rPr>
        <w:t>报废的船舶、浮动设施在内河航行或者作业的处罚流程图</w: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930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DC6F33"/>
    <w:rsid w:val="2554291B"/>
    <w:rsid w:val="76FF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2021-11-02T08:47:17Z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335ED4AD507F4EEFA91FC3231FC5CBF8</vt:lpwstr>
  </property>
</Properties>
</file>